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ПОГОДЖЕНО: </w:t>
        <w:tab/>
        <w:tab/>
        <w:tab/>
        <w:tab/>
        <w:tab/>
        <w:tab/>
        <w:t xml:space="preserve">ЗАТВЕРДЖЕНО:</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Департамент освіти і науки </w:t>
        <w:tab/>
        <w:tab/>
        <w:tab/>
        <w:tab/>
        <w:t xml:space="preserve">Директор ДПТНЗ</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Дніпропетровської  </w:t>
        <w:tab/>
        <w:tab/>
        <w:tab/>
        <w:tab/>
        <w:tab/>
        <w:t xml:space="preserve">«Дніпровський центр</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обласної державної</w:t>
        <w:tab/>
        <w:tab/>
        <w:tab/>
        <w:t xml:space="preserve">                     професійної світи»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адміністрації_ __________  </w:t>
        <w:tab/>
        <w:tab/>
        <w:tab/>
        <w:tab/>
        <w:t xml:space="preserve">____________ В.Д. Логвиненко «___»____________2020р.</w:t>
        <w:tab/>
        <w:t xml:space="preserve">                              13.11.2020р.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8"/>
          <w:szCs w:val="48"/>
          <w:u w:val="none"/>
          <w:shd w:fill="auto" w:val="clear"/>
          <w:vertAlign w:val="baseline"/>
          <w:rtl w:val="0"/>
        </w:rPr>
        <w:t xml:space="preserve">ПРАВИЛА ПРИЙОМУ</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до державного професійно-технічного навчального закладу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«Дніпровський центр професійної освіти»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у 2021 році</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0" w:right="49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розроблено на основі   Типових правил  прийому до закладів професійної (професійно-технічної) 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України</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0" w:right="49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(наказ Міністерства освіти і науки України від 14.05.2013р. за № 499 зі змінами внесеними згідно з наказів МОН № 344 від 09.04.2014, №152 від 07.02.2019, №1550 від 12.12.2019)</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00" w:right="49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та затверджено наказом директора ДПТНЗ «Дніпровський центр професійної освіти»  №  68-аг від 12.11.2020 р .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Дніпро</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2020</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356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ПРАВИЛА ПРИЙОМУ</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356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державного професійно-технічного навчального закладу</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356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«Дніпровський центр професійної освіти</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356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у 2021 році</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 Загальна частина</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Правила прийому до Державного професійно-технічного навчального закладу «Дніпропетровський центр професійної освіти» (далі центр) на 2021 рік розроблені згідно: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Типових правил прийому до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закладів професійної (професійно-технічної) 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України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,затверджених Наказом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Міністерства освіти і науки України від 14.05.2013р. № 499, зареєстрованих Міністерстві юстиції України 29.05.2013р. № 823/23355,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 свідоцтва про атестацію центру від 20.06.2017, серія РД №041105,,</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 ліцензії Державного професійно-технічного навчального закладу «Дніпропетровський центр професійної освіти» від  19.06.2015р. серія АЕ за № 636921, що переоформлена на безстрокову, наказ МОН України від 22.03.2018р., №286-л; ,,</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Статуту  центру затвердженого наказом МОН України  від 10.05.2017р  № 683 ідентифікаційний код: 03062993. ,,</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До центру приймаються громадяни України.</w:t>
      </w:r>
      <w:bookmarkStart w:colFirst="0" w:colLast="0" w:name="bookmark=id.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Прийом на навчання громадян України здійснюється за наявності ліцензії на підготовку (у тому числі первинну професійну), професійно-технічне навчання.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Кожен має рівні права на здобуття професійної (професійно-технічної) освіти відповідно до своїх здібностей і нахилів незалежно від віку, статі, раси, кольору шкіри, стану здоров'я, інвалідності, громадянства, національності, політичних, релігійних чи інших переконань, мови спілкування, етнічного та соціального походження, сімейного та майнового стану, наявності судимості, місця проживання, мовних або інших ознак, які були, є та можуть бути дійсними або припущеними</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Особа, яку визнано біженцем або особою, яка потребує додаткового захисту, має рівне з громадянами України право на  освіту.</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Особа, стосовно якої прийнято рішення про оформлення документів для вирішення питання щодо визнання біженцем або особою, яка потребує додаткового захисту та/або яка оскаржує рішення щодо статусу біженця та особи, яка потребує додаткового захисту, має право на вступ до закладів професійної (професійно-технічної) 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Обмеження допускаються за медичними та віковими показниками, а також показниками професійної придатності, що визначаються Кабінетом Міністрів України.</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Прийом громадян до центру здійснюється для здобуття професій за такими освітньо-кваліфікаційним рівнем</w:t>
      </w:r>
      <w:bookmarkStart w:colFirst="0" w:colLast="0" w:name="bookmark=id.1fob9te"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кваліфікований робітник.</w:t>
      </w:r>
    </w:p>
    <w:bookmarkStart w:colFirst="0" w:colLast="0" w:name="bookmark=id.3znysh7" w:id="3"/>
    <w:bookmarkEnd w:id="3"/>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51"/>
          <w:tab w:val="left" w:pos="1134"/>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 Прийом громадян на первинну професійну підготовку здійснюється за рахунок державного та/або місцевих бюджетів, а також за угодами з підприємствами, установами, організаціями, окремими фізичними та/або юридичними особами.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1.6. </w:t>
        <w:tab/>
        <w:t xml:space="preserve">Прийом громадян понад державне/регіональне замовлення, а також перепідготовка та підвищення кваліфікації здійснюються за рахунок коштів фізичних і юридичних осіб.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ІІ. Приймальна комісія</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Прийом до центру здійснює приймальна комісія, яка знаходиться за адресою: 49108 м. Дніпро, вулиця Верещагіна,103 кабінет 1, та на сайті центру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http://www.dcpo.dp.ua</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Очолює приймальну комісію керівник центру. Наказом центру від 12.11.2020р. за №68-аг «Про організацію роботи приймальної комісії» визначено та затверджено  персональний склад комісії і порядок її роботи </w:t>
      </w:r>
      <w:r w:rsidDel="00000000" w:rsidR="00000000" w:rsidRPr="00000000">
        <w:rPr>
          <w:rFonts w:ascii="Times New Roman" w:cs="Times New Roman" w:eastAsia="Times New Roman" w:hAnsi="Times New Roman"/>
          <w:b w:val="0"/>
          <w:i w:val="0"/>
          <w:smallCaps w:val="0"/>
          <w:strike w:val="0"/>
          <w:color w:val="ff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№1).</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Правила прийому до центру на 2021 рік розроблено відповідно до законодавства України, у тому числі Типових правил прийому до професійно-технічних навчальних закладів України, затверджуються наказом керівника центру від 12.11.2020р. за №68-аг за погодженням з Департаментом освіти і науки Дніпропетровської облдержадміністрації не пізніше 01 грудня поточного року.</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Приймальна комісія: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2.4.1. Організовує прийом заяв та документів;</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2.4.2. Проводить зі вступниками бесіди з питань вибору професії або спеціальності, умов навчання, матеріального забезпечення та забезпечення особливого соціального захисту здобувачів освіти, в тому числі осіб з особливими освітніми потребами, працевлаштування після закінчення закладу освіти;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2.4.3. Організовує та координує підготовку та проведення конкурсного відбору;</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2.4.4.Приймає рішення щодо осіб, рекомендованих до зарахування до центру, оформляє протокол та оголошує відповідні списки осіб;</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2.4.5. Організовує роботу щодо комплектування навчальних груп з урахуванням здібностей і нахилів, віку, стану здоров'я та професійної придатності вступників;</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2.4.6. Вирішує інші питання, пов'язані з прийомом.</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Правила прийому до центру доводяться до відома вступників через засоби масової інформації, інформаційні стенди та сайт центру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http://www.dcpo.dp.ua</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 мають таку специфіку:</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2.5.1.Перелік професій, спеціальностей та спеціалізацій за ними згідно з отриманою ліцензією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hyperlink r:id="rId12">
        <w:r w:rsidDel="00000000" w:rsidR="00000000" w:rsidRPr="00000000">
          <w:rPr>
            <w:color w:val="1155cc"/>
            <w:sz w:val="28"/>
            <w:szCs w:val="28"/>
            <w:u w:val="single"/>
            <w:rtl w:val="0"/>
          </w:rPr>
          <w:t xml:space="preserve">Посилання на д</w:t>
        </w:r>
      </w:hyperlink>
      <w:hyperlink r:id="rId13">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одаток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2.5.2.Вимоги щодо освітнього рівня вступників за кожною професією (спеціальністю) та спеціалізацією</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hyperlink r:id="rId14">
        <w:r w:rsidDel="00000000" w:rsidR="00000000" w:rsidRPr="00000000">
          <w:rPr>
            <w:color w:val="1155cc"/>
            <w:sz w:val="28"/>
            <w:szCs w:val="28"/>
            <w:u w:val="single"/>
            <w:rtl w:val="0"/>
          </w:rPr>
          <w:t xml:space="preserve">Посилання на д</w:t>
        </w:r>
      </w:hyperlink>
      <w:hyperlink r:id="rId15">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одаток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2.5.3.Планові обсяги прийому на 2021рік.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hyperlink r:id="rId16">
        <w:r w:rsidDel="00000000" w:rsidR="00000000" w:rsidRPr="00000000">
          <w:rPr>
            <w:color w:val="1155cc"/>
            <w:sz w:val="28"/>
            <w:szCs w:val="28"/>
            <w:u w:val="single"/>
            <w:rtl w:val="0"/>
          </w:rPr>
          <w:t xml:space="preserve">Посилання на д</w:t>
        </w:r>
      </w:hyperlink>
      <w:hyperlink r:id="rId17">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одаток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2.5.4.Освітні та освітньо-кваліфікаційні рівні випускників.</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hyperlink r:id="rId18">
        <w:r w:rsidDel="00000000" w:rsidR="00000000" w:rsidRPr="00000000">
          <w:rPr>
            <w:color w:val="1155cc"/>
            <w:sz w:val="28"/>
            <w:szCs w:val="28"/>
            <w:u w:val="single"/>
            <w:rtl w:val="0"/>
          </w:rPr>
          <w:t xml:space="preserve">Посилання на д</w:t>
        </w:r>
      </w:hyperlink>
      <w:hyperlink r:id="rId19">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одаток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2.5.5.Строк навчання за професіями (спеціальностями) та спеціалізаціями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hyperlink r:id="rId20">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Посилання на </w:t>
        </w:r>
      </w:hyperlink>
      <w:hyperlink r:id="rId21">
        <w:r w:rsidDel="00000000" w:rsidR="00000000" w:rsidRPr="00000000">
          <w:rPr>
            <w:color w:val="1155cc"/>
            <w:sz w:val="28"/>
            <w:szCs w:val="28"/>
            <w:u w:val="single"/>
            <w:rtl w:val="0"/>
          </w:rPr>
          <w:t xml:space="preserve">д</w:t>
        </w:r>
      </w:hyperlink>
      <w:hyperlink r:id="rId22">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одаток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2.5.6.Форми та ступеневість навчання.</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hyperlink r:id="rId23">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Посилання на </w:t>
        </w:r>
      </w:hyperlink>
      <w:hyperlink r:id="rId24">
        <w:r w:rsidDel="00000000" w:rsidR="00000000" w:rsidRPr="00000000">
          <w:rPr>
            <w:color w:val="1155cc"/>
            <w:sz w:val="28"/>
            <w:szCs w:val="28"/>
            <w:u w:val="single"/>
            <w:rtl w:val="0"/>
          </w:rPr>
          <w:t xml:space="preserve">д</w:t>
        </w:r>
      </w:hyperlink>
      <w:hyperlink r:id="rId25">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одаток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ліцензій Міністерства освіти і науки України щодо права провадження освітньої діяльності у сфері професійної (професійно-технічної) освіти від  19.06.2015р. серія АЕ за № 636921, що переоформлена на безстрокову, наказ МОН України від 22.03.2018р., №286-л; центр має право на надання освітніх послуг, пов’язаних з одержанням професійної (професійно-технічної) освіти на рівні кваліфікаційних вимог до підготовки  робітничих професій, професійно-технічного навчання.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2.5.7. Обмеження з професій (спеціальностей) за медичними показниками здійснюються відповідно наказу МОЗ від 21.05.2007р. №246 «Про затвердження Порядку проведення медичних оглядів працівників певних категорій», зареєстрованих в Міністерстві юстиції України 23 липня 2007 р. за № 846/1413 (додаток № 3).</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2.5.8. Прийом до ДЦПО проводиться шляхом вступних інтегрованих тестових випробувань з предметів: біологія, хімія, математика, українська мова і література, затверджених на методичних комісіях, протокол № 3 від 11.11.2020р.природничо-математичного циклу та протокол №3 від 11.11.2020р. циклу гуманітарних дисциплін (Додаток №4).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Вступні випробування проводяться згідно з розкладом, затвердженого наказом керівника центру  від 12.11.2020р. №69-аг (додаток №5).</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2.5.9. У разі однакового конкурсного балу вступників перевага при зарахуванні надається відповідно до середнього балу документу про освіту (свідоцтва про базову загальну середню освіту та свідоцтва (атестату) про повну загальну середню освіту).</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2.5.10. В центрі для вирішення спірних питань та оскаржень результатів вступних випробувань створено апеляційну комісію, склад якої затверджено наказом керівника від</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12.11.2020 №70-а (додаток №6).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2.5.11. Приймальна комісія працює відповідно до наказу від 12.11.2020р. №68-аг «Про  організацію роботи приймальної комісії»  (додаток №1).</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Графік роботи приймальної комісії:</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понеділок - п’ятниця з 8.00 до 18.00 год.;</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субота та неділя - з 9.00-14.00 год.</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2.5.12. Центр гарантує наявність</w:t>
      </w: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 місць в гуртожитку. Місця в гуртожитку надаються здобувачам освіти відповідно до Порядку забезпечення гуртожитками осіб, які здобувають освіту в закладах професійної (професійно-технічної) освіти, затвердженого постановою Кабінету Міністрів України  від 17 квітня 2019 р. № 331.</w:t>
      </w: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Поселення в гуртожиток відбудеться 30-31 серпня 2021 року за адресою: 49108 м. Дніпро, вулиця Верещагіна,105. </w:t>
      </w:r>
      <w:hyperlink r:id="rId2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(Положення про гуртожиток)</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2.5.13. Порядок проходження медичного огляду вступників. Вступники проходять професійний медичний відбір в медичних установах за місцем проживання абітурієнтів.</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Форми довідок: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Ф-086 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наказу Міністерства охорони здоров’я України від 14 лютого 2012 року  №110 «Про затвердження форм первинної облікової документації та Інструкцій щодо їх заповнення, що використовуються у закладах охорони здоров’я незалежно від форми власності та підпорядкування», наказу Міністерства охорони здоров'я України від 21 травня 2007 року №246 «Про затвердження  Порядку проведення медичних оглядів працівників певних категорій»);</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форма  первинної  облікової   документації   №086-1/о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наказу Міністерства освіти і науки України та Міністерства охорони здоров'я України  від 20.07.2009 №518/674 «Про забезпечення медико-педагогічного контролю за фізичним вихованням учнів у загальноосвітніх навчальних закладах»; наказ Міністерства охорони здоров'я України від 16.08.2010 №682 «Про удосконалення медичного обслуговування учнів загальноосвітніх начальних закладів»)</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2.6. Строки проведення прийому на навчання встановлено правилами прийому до центру відповідно до затверджених у встановленому порядку робочих навчальних планів  підготовки кваліфікованих робітників за регіональним замовленням на 2021-2022  навчальний рік </w:t>
      </w: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 xml:space="preserve">(додаток №7).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Групи, які навчаються за рахунок фізичних та юридичних осіб, починають навчання по мірі комплектування груп.</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III. Документи для вступу</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Вступники подають особисто заяву про вступ до закладу професійної (професійно-технічної) освіти, вказуючи обрану професію (спеціальність), форму здобуття освіти, місце проживання, до якої додають:</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документ про освіту;</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медичну довідку за формою, установленою чинним законодавством;</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 фотокарток розміром 3 х 4 см;</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копії документів, що дають право на пільги до вступу в заклад освіти (за наявності);</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реєстраційний номер облікової картки платника податків.</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4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Вступники пред’являють особисто документ, що підтверджує громадянство, та документ, що посвідчує особу чи її спеціальний статус, а особи, які потребують додаткового або тимчасового захисту та подали відповідну заяву про визнання їх біженцем або особою, що потребує додаткового захисту, надають довідку про звернення за захистом в Україні.</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Особи, які направляються на навчання підприємствами, установами, організаціями, додають до заяви про вступ відповідний документ (угода).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IV. Умови прийому</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Прийом до центру проводиться шляхом конкурсного відбору вступників - за результатами вступних випробувань за переліком питань і завдань з предметів для абітурієнтів на базі базової загальної середньої освіти:  з біології, хімії, математики, української мови та літератури </w:t>
      </w: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 xml:space="preserve">(додаток №8),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 за переліком питань і завдань з предметів для абітурієнтів на базі повної загальної середньої освіти: з біології, хімії, математики, української мови та літератури</w:t>
      </w:r>
      <w:r w:rsidDel="00000000" w:rsidR="00000000" w:rsidRPr="00000000">
        <w:rPr>
          <w:rFonts w:ascii="Times New Roman" w:cs="Times New Roman" w:eastAsia="Times New Roman" w:hAnsi="Times New Roman"/>
          <w:b w:val="0"/>
          <w:i w:val="0"/>
          <w:smallCaps w:val="0"/>
          <w:strike w:val="0"/>
          <w:color w:val="c00000"/>
          <w:sz w:val="28"/>
          <w:szCs w:val="28"/>
          <w:u w:val="none"/>
          <w:shd w:fill="auto" w:val="clear"/>
          <w:vertAlign w:val="baseline"/>
          <w:rtl w:val="0"/>
        </w:rPr>
        <w:t xml:space="preserve"> (додаток №9),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що розглядаються та схвалюються на засіданні методичної комісії</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викладачів загальноосвітньої підготовки  і затверджуються керівником закладу освіти;</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Конкурсний відбір проводиться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поетапно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протягом усього періоду прийому документів (додаток 5).</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Прийом здобувачів освіти на перепідготовку або підвищення кваліфікації  здійснюється  шляхом </w:t>
      </w:r>
      <w:hyperlink r:id="rId27">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проведення вхідного контролю (тестування) з професій «Кухар»</w:t>
        </w:r>
      </w:hyperlink>
      <w:hyperlink r:id="rId28">
        <w:r w:rsidDel="00000000" w:rsidR="00000000" w:rsidRPr="00000000">
          <w:rPr>
            <w:rFonts w:ascii="Times New Roman" w:cs="Times New Roman" w:eastAsia="Times New Roman" w:hAnsi="Times New Roman"/>
            <w:b w:val="0"/>
            <w:i w:val="0"/>
            <w:smallCaps w:val="0"/>
            <w:strike w:val="0"/>
            <w:color w:val="1155cc"/>
            <w:sz w:val="28"/>
            <w:szCs w:val="28"/>
            <w:u w:val="single"/>
            <w:vertAlign w:val="baseline"/>
            <w:rtl w:val="0"/>
          </w:rPr>
          <w:t xml:space="preserve">.</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Особи, які без поважних причин не з'явилися на конкурсний відбір у зазначений за розкладом час або отримали незадовільні результати, до участі у наступних етапах конкурсного відбору не допускаються.</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 Зарахування</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Зараховуються поза конкурсом:</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особи, яким відповідно до </w:t>
      </w:r>
      <w:hyperlink r:id="rId2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Закону України "Про статус ветеранів війни, гарантії їх соціального захисту"</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надано таке право;</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діти-сироти та діти, позбавлені батьківського піклування, а також особи з їх числа віком від 18 до 23 років відповідно до </w:t>
      </w:r>
      <w:hyperlink r:id="rId3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постанови Кабінету Міністрів України від 05 квітня 1994 року N 226 "Про поліпшення виховання, навчання, соціального захисту та матеріального забезпечення дітей-сиріт і дітей, позбавлених батьківського піклування"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(зі змінами);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4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діти з інвалідністю та особи з інвалідністю, яким не протипоказане навчання за обраною професією (спеціальністю), відповідно до </w:t>
      </w:r>
      <w:hyperlink r:id="rId3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статті 22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Закону України «Про основи соціальної захищеності осіб з інвалідністю в Україні»;</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особи, яким відповідно до </w:t>
      </w:r>
      <w:hyperlink r:id="rId3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Закону України "Про статус і соціальний захист громадян, які постраждали внаслідок Чорнобильської катастрофи"</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надано таке право, у тому числі громадяни, віднесені до категорії 3, - за умови одержання громадянами цієї категорії позитивних оцінок на вступних випробуваннях;</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особи, яким відповідно до </w:t>
      </w:r>
      <w:hyperlink r:id="rId3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Закону України "Про підвищення престижності шахтарської праці"</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надано таке право;</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діти, чиї батьки загинули або стали інвалідами на вугледобувних підприємствах, при вступі на навчання за гірничими  професіями відповідно до </w:t>
      </w:r>
      <w:hyperlink r:id="rId3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Указу Президента України від 19 травня 1999 року N 524 "Про державну допомогу дітям, які вчаться за гірничими спеціальностями і чиї батьки загинули або стали інвалідами на вугледобувних підприємствах"</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діти військовослужбовців Збройних Сил України, інших військових формувань, працівників правоохоронних органів, які загинули під час виконання службових обов'язків, на місця, забезпечені державним замовленням. Вступники у цьому разі подають відповідний документ про те, що батько (мати) визнані такими, що загинули під час виконання службових обов'язків, відповідно до </w:t>
      </w:r>
      <w:hyperlink r:id="rId3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Указу Президента України від 21 лютого 2002 року №157 "Про додаткові заходи щодо посилення турботи про захисників Вітчизни, їх правового і соціального захисту, поліпшення військово-патріотичного виховання молоді"</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особи, яким відповідно до Постанови КМУ від 23.11.2016р. №975 «Про надання державної цільової підтримки деяким категоріям громадян для здобуття професійно-технічної та вищої освіти» надано таке право.</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Першочергово зараховуються за інших різних умов:</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випускники загальноосвітнього навчального закладу III ступеня, нагороджені золотою (срібною) медаллю;</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випускники загальноосвітнього навчального закладу II ступеня, які мають</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свідоцтво про базову загальну середню  освіту з відзнакою;</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учасники міжнародних, завершального етапу Всеукраїнських учнівських олімпіад, конкурсів з дисциплін за умови, якщо вони вступають за професіями, для яких вищезазначені дисципліни є профільними;</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призери III етапу Всеукраїнського конкурсу-захисту науково-дослідницьких робіт учнів - членів Малої академії наук України в рік вступу;</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 з інвалідністю та діти з малозабезпечених сімей, у яких обидва батьки є особами з інвалідністю, один з батьків є особою з інвалідністю, а інший помер, одинока матір є особою з інвалідністю, батько є особою з інвалідністю та виховує дитину без матері, відповідно до </w:t>
      </w:r>
      <w:hyperlink r:id="rId3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статті 22</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Закону України «Про основи соціальної захищеності осіб з інвалідністю в Україні»;</w:t>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особи, які вступають до закладу професійної (професійно-технічної) освіти за цільовим направленням на навчання.</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Не пізніше ніж через 5 днів після закінчення конкурсного відбору приймальна комісія приймає рішення, оформляє протокол та оголошує список осіб, що рекомендовані до зарахування на навчання до центру за обраною професією та формою здобуття освіти.</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У разі оскарження результатів конкурсного відбору вступник у триденний строк після їх оголошення подає відповідну заяву на ім'я голови приймальної комісії центру.</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Апеляційна комісія розглядає заяви у встановлені терміни і результати доводить до відома заявника особисто. Рішення апеляційної комісії є остаточним.</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Зарахування до центру здійснюється наказом керівника центру.</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 Зарахування до центру на навчання за рахунок державного та/або місцевих бюджетів, а також за угодами з підприємствами, установами, організаціями, окремими фізичними та/або юридичними особами здійснюється в межах ліцензійних обсягів.</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8789"/>
        </w:tabs>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8789"/>
        </w:tabs>
        <w:spacing w:after="0" w:before="0" w:line="276"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VІ. Прикінцеві положення</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Зазначений порядок прийому документів з подальшим зарахуванням поширюється на вступників, які не мають базової загальної середньої освіти і подають довідку про навчання в закладі загальної середньої освіти.</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4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Особи, які без поважних причин не приступили до занять протягом 10 днів від дня їх початку, відраховуються з центру. На звільнені місця може проводитися зарахування осіб, що отримали позитивні результати при конкурсному відборі, але не були зараховані.</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64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невиконанні державного/регіонального замовлення на прийом з окремих професій (спеціальностей) центру проводить додатковий прийом.</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Особам, які не зараховані до центру а також тим, які без поважних причин не приступили до занять, повертаються документи не пізніше ніж протягом п'яти днів з дня прийняття рішення у спосіб, що не суперечить чинному законодавству України.</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Матеріали, які засвідчують результати вступних випробувань, зберігаються протягом одного року, а потім знищуються, про що складається відповідний акт.</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Контроль за дотриманням Правил прийому до Державного професійно- технічного навчального закладу «Дніпровський центр професійної освіти» здійснюється Міністерством освіти і науки України, Департаментом освіти і науки Дніпропетровської облдержадміністрації, що реалізує державну політику у сфері професійної (професійно-технічної) освіти  в межах делегованих повноважень.</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Відповідальна особа</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заступник директора</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з навчально-виховної роботи                Мартинова Т.І.</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Методичні матеріали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 організації вхідного контролю</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в </w:t>
      </w:r>
      <w:r w:rsidDel="00000000" w:rsidR="00000000" w:rsidRPr="00000000">
        <w:rPr>
          <w:rFonts w:ascii="Bookman Old Style" w:cs="Bookman Old Style" w:eastAsia="Bookman Old Style" w:hAnsi="Bookman Old Style"/>
          <w:b w:val="0"/>
          <w:i w:val="0"/>
          <w:smallCaps w:val="0"/>
          <w:strike w:val="0"/>
          <w:color w:val="000000"/>
          <w:sz w:val="40"/>
          <w:szCs w:val="40"/>
          <w:u w:val="none"/>
          <w:shd w:fill="auto" w:val="clear"/>
          <w:vertAlign w:val="baseline"/>
          <w:rtl w:val="0"/>
        </w:rPr>
        <w:t xml:space="preserve">Державному професійно-технічному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40"/>
          <w:szCs w:val="40"/>
          <w:u w:val="none"/>
          <w:shd w:fill="auto" w:val="clear"/>
          <w:vertAlign w:val="baseline"/>
          <w:rtl w:val="0"/>
        </w:rPr>
        <w:t xml:space="preserve">навчальному закладі «Дніпровський центр професійної освіти»</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(завдання для контрольних тестувань)</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 професії 5122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«Кухар»  5</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 розряд</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Розглянуто та погоджено </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спільному засіданні методичних комісій</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предметів кулінарного профілю та сфери послуг</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№2 від 12.11.2020р.</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Методичні матеріали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 організації вхідного контролю</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Bookman Old Style" w:cs="Bookman Old Style" w:eastAsia="Bookman Old Style" w:hAnsi="Bookman Old Style"/>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в </w:t>
      </w:r>
      <w:r w:rsidDel="00000000" w:rsidR="00000000" w:rsidRPr="00000000">
        <w:rPr>
          <w:rFonts w:ascii="Bookman Old Style" w:cs="Bookman Old Style" w:eastAsia="Bookman Old Style" w:hAnsi="Bookman Old Style"/>
          <w:b w:val="0"/>
          <w:i w:val="0"/>
          <w:smallCaps w:val="0"/>
          <w:strike w:val="0"/>
          <w:color w:val="000000"/>
          <w:sz w:val="40"/>
          <w:szCs w:val="40"/>
          <w:u w:val="none"/>
          <w:shd w:fill="auto" w:val="clear"/>
          <w:vertAlign w:val="baseline"/>
          <w:rtl w:val="0"/>
        </w:rPr>
        <w:t xml:space="preserve">Державному професійно-технічному </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40"/>
          <w:szCs w:val="40"/>
          <w:u w:val="none"/>
          <w:shd w:fill="auto" w:val="clear"/>
          <w:vertAlign w:val="baseline"/>
          <w:rtl w:val="0"/>
        </w:rPr>
        <w:t xml:space="preserve">навчальному закладі «Дніпровський центр професійної освіти»</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(завдання для контрольних тестувань)</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з професії 5123 </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«Офіціант»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4 розряд</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Розглянуто та погоджено </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спільному засіданні методичних комісій</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предметів кулінарного профілю та сфери послуг</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№2 від 12.11.2020р.</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37" w:type="default"/>
      <w:headerReference r:id="rId38" w:type="first"/>
      <w:headerReference r:id="rId39" w:type="even"/>
      <w:footerReference r:id="rId40" w:type="default"/>
      <w:footerReference r:id="rId41" w:type="first"/>
      <w:footerReference r:id="rId42" w:type="even"/>
      <w:pgSz w:h="16840" w:w="11907" w:orient="portrait"/>
      <w:pgMar w:bottom="709" w:top="851" w:left="1701" w:right="567"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70" w:hanging="360"/>
      </w:pPr>
      <w:rPr>
        <w:rFonts w:ascii="Times New Roman" w:cs="Times New Roman" w:eastAsia="Times New Roman" w:hAnsi="Times New Roman"/>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2">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0"/>
    </w:pPr>
    <w:rPr>
      <w:b w:val="1"/>
      <w:noProof w:val="0"/>
      <w:w w:val="100"/>
      <w:position w:val="-1"/>
      <w:sz w:val="48"/>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tabs>
        <w:tab w:val="left" w:leader="none" w:pos="4820"/>
        <w:tab w:val="left" w:leader="none" w:pos="8080"/>
      </w:tabs>
      <w:suppressAutoHyphens w:val="1"/>
      <w:spacing w:line="1" w:lineRule="atLeast"/>
      <w:ind w:leftChars="-1" w:rightChars="0" w:firstLineChars="-1"/>
      <w:textDirection w:val="btLr"/>
      <w:textAlignment w:val="top"/>
      <w:outlineLvl w:val="1"/>
    </w:pPr>
    <w:rPr>
      <w:i w:val="1"/>
      <w:noProof w:val="0"/>
      <w:w w:val="100"/>
      <w:position w:val="-1"/>
      <w:sz w:val="32"/>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tabs>
        <w:tab w:val="left" w:leader="none" w:pos="4820"/>
        <w:tab w:val="left" w:leader="none" w:pos="8080"/>
      </w:tabs>
      <w:suppressAutoHyphens w:val="1"/>
      <w:spacing w:line="1" w:lineRule="atLeast"/>
      <w:ind w:left="-567" w:leftChars="-1" w:rightChars="0" w:firstLineChars="-1"/>
      <w:jc w:val="center"/>
      <w:textDirection w:val="btLr"/>
      <w:textAlignment w:val="top"/>
      <w:outlineLvl w:val="2"/>
    </w:pPr>
    <w:rPr>
      <w:b w:val="1"/>
      <w:noProof w:val="0"/>
      <w:w w:val="100"/>
      <w:position w:val="-1"/>
      <w:sz w:val="32"/>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tabs>
        <w:tab w:val="left" w:leader="none" w:pos="4820"/>
        <w:tab w:val="left" w:leader="none" w:pos="8080"/>
      </w:tabs>
      <w:suppressAutoHyphens w:val="1"/>
      <w:spacing w:line="1" w:lineRule="atLeast"/>
      <w:ind w:left="420" w:leftChars="-1" w:rightChars="0" w:hanging="420" w:firstLineChars="-1"/>
      <w:jc w:val="center"/>
      <w:textDirection w:val="btLr"/>
      <w:textAlignment w:val="top"/>
      <w:outlineLvl w:val="3"/>
    </w:pPr>
    <w:rPr>
      <w:b w:val="1"/>
      <w:noProof w:val="0"/>
      <w:w w:val="100"/>
      <w:position w:val="-1"/>
      <w:sz w:val="32"/>
      <w:effect w:val="none"/>
      <w:vertAlign w:val="baseline"/>
      <w:cs w:val="0"/>
      <w:em w:val="none"/>
      <w:lang w:bidi="ar-SA" w:eastAsia="ru-RU" w:val="en-US"/>
    </w:rPr>
  </w:style>
  <w:style w:type="paragraph" w:styleId="Заголовок5">
    <w:name w:val="Заголовок 5"/>
    <w:basedOn w:val="Обычный"/>
    <w:next w:val="Обычный"/>
    <w:autoRedefine w:val="0"/>
    <w:hidden w:val="0"/>
    <w:qFormat w:val="0"/>
    <w:pPr>
      <w:keepNext w:val="1"/>
      <w:tabs>
        <w:tab w:val="left" w:leader="none" w:pos="4820"/>
        <w:tab w:val="left" w:leader="none" w:pos="8080"/>
      </w:tabs>
      <w:suppressAutoHyphens w:val="1"/>
      <w:spacing w:line="1" w:lineRule="atLeast"/>
      <w:ind w:left="420" w:leftChars="-1" w:rightChars="0" w:firstLineChars="-1"/>
      <w:jc w:val="both"/>
      <w:textDirection w:val="btLr"/>
      <w:textAlignment w:val="top"/>
      <w:outlineLvl w:val="4"/>
    </w:pPr>
    <w:rPr>
      <w:noProof w:val="0"/>
      <w:w w:val="100"/>
      <w:position w:val="-1"/>
      <w:sz w:val="28"/>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820"/>
        <w:tab w:val="left" w:leader="none" w:pos="8080"/>
      </w:tabs>
      <w:suppressAutoHyphens w:val="1"/>
      <w:spacing w:line="1" w:lineRule="atLeast"/>
      <w:ind w:left="-284" w:leftChars="-1" w:rightChars="0" w:firstLineChars="-1"/>
      <w:textDirection w:val="btLr"/>
      <w:textAlignment w:val="top"/>
      <w:outlineLvl w:val="5"/>
    </w:pPr>
    <w:rPr>
      <w:i w:val="1"/>
      <w:noProof w:val="0"/>
      <w:w w:val="100"/>
      <w:position w:val="-1"/>
      <w:sz w:val="28"/>
      <w:effect w:val="none"/>
      <w:vertAlign w:val="baseline"/>
      <w:cs w:val="0"/>
      <w:em w:val="none"/>
      <w:lang w:bidi="ar-SA" w:eastAsia="ru-RU" w:val="uk-UA"/>
    </w:rPr>
  </w:style>
  <w:style w:type="paragraph" w:styleId="Заголовок7">
    <w:name w:val="Заголовок 7"/>
    <w:basedOn w:val="Обычный"/>
    <w:next w:val="Обычный"/>
    <w:autoRedefine w:val="0"/>
    <w:hidden w:val="0"/>
    <w:qFormat w:val="0"/>
    <w:pPr>
      <w:keepNext w:val="1"/>
      <w:tabs>
        <w:tab w:val="left" w:leader="none" w:pos="4820"/>
        <w:tab w:val="left" w:leader="none" w:pos="8080"/>
      </w:tabs>
      <w:suppressAutoHyphens w:val="1"/>
      <w:spacing w:line="1" w:lineRule="atLeast"/>
      <w:ind w:leftChars="-1" w:rightChars="0" w:firstLineChars="-1"/>
      <w:jc w:val="center"/>
      <w:textDirection w:val="btLr"/>
      <w:textAlignment w:val="top"/>
      <w:outlineLvl w:val="6"/>
    </w:pPr>
    <w:rPr>
      <w:b w:val="1"/>
      <w:noProof w:val="0"/>
      <w:w w:val="100"/>
      <w:position w:val="-1"/>
      <w:sz w:val="40"/>
      <w:effect w:val="none"/>
      <w:vertAlign w:val="baseline"/>
      <w:cs w:val="0"/>
      <w:em w:val="none"/>
      <w:lang w:bidi="ar-SA" w:eastAsia="ru-RU" w:val="en-US"/>
    </w:rPr>
  </w:style>
  <w:style w:type="paragraph" w:styleId="Заголовок8">
    <w:name w:val="Заголовок 8"/>
    <w:basedOn w:val="Обычный"/>
    <w:next w:val="Обычный"/>
    <w:autoRedefine w:val="0"/>
    <w:hidden w:val="0"/>
    <w:qFormat w:val="0"/>
    <w:pPr>
      <w:keepNext w:val="1"/>
      <w:tabs>
        <w:tab w:val="left" w:leader="none" w:pos="4820"/>
        <w:tab w:val="left" w:leader="none" w:pos="8080"/>
      </w:tabs>
      <w:suppressAutoHyphens w:val="1"/>
      <w:spacing w:line="1" w:lineRule="atLeast"/>
      <w:ind w:leftChars="-1" w:rightChars="0" w:firstLineChars="-1"/>
      <w:jc w:val="center"/>
      <w:textDirection w:val="btLr"/>
      <w:textAlignment w:val="top"/>
      <w:outlineLvl w:val="7"/>
    </w:pPr>
    <w:rPr>
      <w:b w:val="1"/>
      <w:noProof w:val="0"/>
      <w:w w:val="100"/>
      <w:position w:val="-1"/>
      <w:sz w:val="4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ru-RU" w:val="ru-RU"/>
    </w:rPr>
  </w:style>
  <w:style w:type="character" w:styleId="Номерстраницы">
    <w:name w:val="Номер страницы"/>
    <w:basedOn w:val="Основнойшрифтабзаца"/>
    <w:next w:val="Номерстраницы"/>
    <w:autoRedefine w:val="0"/>
    <w:hidden w:val="0"/>
    <w:qFormat w:val="0"/>
    <w:rPr>
      <w:w w:val="100"/>
      <w:position w:val="-1"/>
      <w:effect w:val="none"/>
      <w:vertAlign w:val="baseline"/>
      <w:cs w:val="0"/>
      <w:em w:val="none"/>
      <w:lang/>
    </w:rPr>
  </w:style>
  <w:style w:type="paragraph" w:styleId="Названиеобъекта">
    <w:name w:val="Название объекта"/>
    <w:basedOn w:val="Обычный"/>
    <w:next w:val="Обычный"/>
    <w:autoRedefine w:val="0"/>
    <w:hidden w:val="0"/>
    <w:qFormat w:val="0"/>
    <w:pPr>
      <w:suppressAutoHyphens w:val="1"/>
      <w:spacing w:line="1" w:lineRule="atLeast"/>
      <w:ind w:leftChars="-1" w:rightChars="0" w:firstLineChars="-1"/>
      <w:jc w:val="center"/>
      <w:textDirection w:val="btLr"/>
      <w:textAlignment w:val="top"/>
      <w:outlineLvl w:val="0"/>
    </w:pPr>
    <w:rPr>
      <w:noProof w:val="0"/>
      <w:w w:val="100"/>
      <w:position w:val="-1"/>
      <w:sz w:val="36"/>
      <w:effect w:val="none"/>
      <w:vertAlign w:val="baseline"/>
      <w:cs w:val="0"/>
      <w:em w:val="none"/>
      <w:lang w:bidi="ar-SA" w:eastAsia="ru-RU" w:val="uk-UA"/>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tabs>
        <w:tab w:val="left" w:leader="none" w:pos="426"/>
      </w:tabs>
      <w:suppressAutoHyphens w:val="1"/>
      <w:spacing w:line="1" w:lineRule="atLeast"/>
      <w:ind w:left="420" w:leftChars="-1" w:rightChars="0" w:firstLineChars="-1"/>
      <w:jc w:val="both"/>
      <w:textDirection w:val="btLr"/>
      <w:textAlignment w:val="top"/>
      <w:outlineLvl w:val="0"/>
    </w:pPr>
    <w:rPr>
      <w:noProof w:val="0"/>
      <w:w w:val="100"/>
      <w:position w:val="-1"/>
      <w:sz w:val="32"/>
      <w:effect w:val="none"/>
      <w:vertAlign w:val="baseline"/>
      <w:cs w:val="0"/>
      <w:em w:val="none"/>
      <w:lang w:bidi="ar-SA" w:eastAsia="ru-RU" w:val="uk-UA"/>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tabs>
        <w:tab w:val="left" w:leader="none" w:pos="993"/>
        <w:tab w:val="left" w:leader="none" w:pos="8080"/>
      </w:tabs>
      <w:suppressAutoHyphens w:val="1"/>
      <w:spacing w:line="1" w:lineRule="atLeast"/>
      <w:ind w:left="-567" w:leftChars="-1" w:rightChars="0" w:firstLineChars="-1"/>
      <w:jc w:val="both"/>
      <w:textDirection w:val="btLr"/>
      <w:textAlignment w:val="top"/>
      <w:outlineLvl w:val="0"/>
    </w:pPr>
    <w:rPr>
      <w:noProof w:val="0"/>
      <w:w w:val="100"/>
      <w:position w:val="-1"/>
      <w:sz w:val="32"/>
      <w:effect w:val="none"/>
      <w:vertAlign w:val="baseline"/>
      <w:cs w:val="0"/>
      <w:em w:val="none"/>
      <w:lang w:bidi="ar-SA" w:eastAsia="ru-RU" w:val="uk-UA"/>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tabs>
        <w:tab w:val="left" w:leader="none" w:pos="4820"/>
        <w:tab w:val="left" w:leader="none" w:pos="8080"/>
      </w:tabs>
      <w:suppressAutoHyphens w:val="1"/>
      <w:spacing w:line="1" w:lineRule="atLeast"/>
      <w:ind w:left="-284" w:leftChars="-1" w:rightChars="0" w:firstLineChars="-1"/>
      <w:jc w:val="both"/>
      <w:textDirection w:val="btLr"/>
      <w:textAlignment w:val="top"/>
      <w:outlineLvl w:val="0"/>
    </w:pPr>
    <w:rPr>
      <w:noProof w:val="0"/>
      <w:w w:val="100"/>
      <w:position w:val="-1"/>
      <w:sz w:val="32"/>
      <w:effect w:val="none"/>
      <w:vertAlign w:val="baseline"/>
      <w:cs w:val="0"/>
      <w:em w:val="none"/>
      <w:lang w:bidi="ar-SA" w:eastAsia="ru-RU" w:val="en-US"/>
    </w:rPr>
  </w:style>
  <w:style w:type="paragraph" w:styleId="Название">
    <w:name w:val="Название"/>
    <w:basedOn w:val="Обычный"/>
    <w:next w:val="Название"/>
    <w:autoRedefine w:val="0"/>
    <w:hidden w:val="0"/>
    <w:qFormat w:val="0"/>
    <w:pPr>
      <w:suppressAutoHyphens w:val="1"/>
      <w:spacing w:line="1" w:lineRule="atLeast"/>
      <w:ind w:leftChars="-1" w:rightChars="0" w:firstLineChars="-1"/>
      <w:jc w:val="center"/>
      <w:textDirection w:val="btLr"/>
      <w:textAlignment w:val="top"/>
      <w:outlineLvl w:val="0"/>
    </w:pPr>
    <w:rPr>
      <w:b w:val="1"/>
      <w:noProof w:val="0"/>
      <w:w w:val="100"/>
      <w:position w:val="-1"/>
      <w:sz w:val="28"/>
      <w:effect w:val="none"/>
      <w:vertAlign w:val="baseline"/>
      <w:cs w:val="0"/>
      <w:em w:val="none"/>
      <w:lang w:bidi="ar-SA" w:eastAsia="ru-RU" w:val="uk-UA"/>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paragraph" w:styleId="Абзацсписка1">
    <w:name w:val="Абзац списка1"/>
    <w:basedOn w:val="Обычный"/>
    <w:next w:val="Абзацсписка1"/>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paragraph" w:styleId="Текст1">
    <w:name w:val="Текст1"/>
    <w:basedOn w:val="Обычный"/>
    <w:next w:val="Текст1"/>
    <w:autoRedefine w:val="0"/>
    <w:hidden w:val="0"/>
    <w:qFormat w:val="0"/>
    <w:pPr>
      <w:suppressAutoHyphens w:val="0"/>
      <w:spacing w:line="1" w:lineRule="atLeast"/>
      <w:ind w:leftChars="-1" w:rightChars="0" w:firstLineChars="-1"/>
      <w:textDirection w:val="btLr"/>
      <w:textAlignment w:val="top"/>
      <w:outlineLvl w:val="0"/>
    </w:pPr>
    <w:rPr>
      <w:rFonts w:ascii="Courier New" w:cs="Courier New" w:hAnsi="Courier New"/>
      <w:w w:val="100"/>
      <w:position w:val="-1"/>
      <w:sz w:val="20"/>
      <w:effect w:val="none"/>
      <w:vertAlign w:val="baseline"/>
      <w:cs w:val="0"/>
      <w:em w:val="none"/>
      <w:lang w:bidi="hi-IN" w:eastAsia="zh-CN" w:val="ru-RU"/>
    </w:rPr>
  </w:style>
  <w:style w:type="paragraph" w:styleId="Основнойтекст21">
    <w:name w:val="Основной текст 21"/>
    <w:basedOn w:val="Обычный"/>
    <w:next w:val="Основнойтекст21"/>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0"/>
      <w:szCs w:val="24"/>
      <w:effect w:val="none"/>
      <w:vertAlign w:val="baseline"/>
      <w:cs w:val="0"/>
      <w:em w:val="none"/>
      <w:lang w:bidi="hi-IN" w:eastAsia="zh-CN" w:val="uk-UA"/>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hAnsi="Courier New"/>
      <w:w w:val="100"/>
      <w:position w:val="-1"/>
      <w:sz w:val="20"/>
      <w:effect w:val="none"/>
      <w:vertAlign w:val="baseline"/>
      <w:cs w:val="0"/>
      <w:em w:val="none"/>
      <w:lang w:bidi="ar-SA" w:eastAsia="und" w:val="und"/>
    </w:rPr>
  </w:style>
  <w:style w:type="character" w:styleId="СтандартныйHTMLЗнак">
    <w:name w:val="Стандартный HTML Знак"/>
    <w:next w:val="СтандартныйHTMLЗнак"/>
    <w:autoRedefine w:val="0"/>
    <w:hidden w:val="0"/>
    <w:qFormat w:val="0"/>
    <w:rPr>
      <w:rFonts w:ascii="Courier New" w:cs="Courier New" w:hAnsi="Courier New"/>
      <w:w w:val="100"/>
      <w:position w:val="-1"/>
      <w:effect w:val="none"/>
      <w:vertAlign w:val="baseline"/>
      <w:cs w:val="0"/>
      <w:em w:val="none"/>
      <w:lang/>
    </w:rPr>
  </w:style>
  <w:style w:type="character" w:styleId="FontStyle31">
    <w:name w:val="Font Style31"/>
    <w:next w:val="FontStyle31"/>
    <w:autoRedefine w:val="0"/>
    <w:hidden w:val="0"/>
    <w:qFormat w:val="0"/>
    <w:rPr>
      <w:rFonts w:ascii="Bookman Old Style" w:cs="Bookman Old Style" w:hAnsi="Bookman Old Style"/>
      <w:spacing w:val="30"/>
      <w:w w:val="100"/>
      <w:position w:val="-1"/>
      <w:sz w:val="16"/>
      <w:szCs w:val="16"/>
      <w:effect w:val="none"/>
      <w:vertAlign w:val="baseline"/>
      <w:cs w:val="0"/>
      <w:em w:val="none"/>
      <w:lang/>
    </w:rPr>
  </w:style>
  <w:style w:type="character" w:styleId="FontStyle28">
    <w:name w:val="Font Style28"/>
    <w:next w:val="FontStyle28"/>
    <w:autoRedefine w:val="0"/>
    <w:hidden w:val="0"/>
    <w:qFormat w:val="0"/>
    <w:rPr>
      <w:rFonts w:ascii="Bookman Old Style" w:cs="Bookman Old Style" w:hAnsi="Bookman Old Style"/>
      <w:spacing w:val="20"/>
      <w:w w:val="100"/>
      <w:position w:val="-1"/>
      <w:sz w:val="22"/>
      <w:szCs w:val="22"/>
      <w:effect w:val="none"/>
      <w:vertAlign w:val="baseline"/>
      <w:cs w:val="0"/>
      <w:em w:val="none"/>
      <w:lang/>
    </w:rPr>
  </w:style>
  <w:style w:type="paragraph" w:styleId="Обычный(веб)">
    <w:name w:val="Обычный (веб)"/>
    <w:basedOn w:val="Обычный"/>
    <w:next w:val="Обычный(веб)"/>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character" w:styleId="Просмотреннаягиперссылка">
    <w:name w:val="Просмотренная гиперссылка"/>
    <w:basedOn w:val="Основнойшрифтабзаца"/>
    <w:next w:val="Просмотреннаягиперссылка"/>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dcpo.dp.ua/wp-content/uploads/2020/11/2.5..-%D0%9F%D0%BB%D0%B0%D0%BD%D0%BE%D0%B2%D1%96-%D0%BE%D0%B1%D1%81%D1%8F%D0%B3%D0%B8-%D0%BF%D1%80%D0%B8%D0%B9%D0%BE%D0%BC%D1%83-%D0%BD%D0%B0-2021-%D1%80%D1%96%D0%BA.docx" TargetMode="External"/><Relationship Id="rId42" Type="http://schemas.openxmlformats.org/officeDocument/2006/relationships/footer" Target="footer3.xml"/><Relationship Id="rId41" Type="http://schemas.openxmlformats.org/officeDocument/2006/relationships/footer" Target="footer1.xml"/><Relationship Id="rId22" Type="http://schemas.openxmlformats.org/officeDocument/2006/relationships/hyperlink" Target="http://dcpo.dp.ua/wp-content/uploads/2020/11/2.5..-%D0%9F%D0%BB%D0%B0%D0%BD%D0%BE%D0%B2%D1%96-%D0%BE%D0%B1%D1%81%D1%8F%D0%B3%D0%B8-%D0%BF%D1%80%D0%B8%D0%B9%D0%BE%D0%BC%D1%83-%D0%BD%D0%B0-2021-%D1%80%D1%96%D0%BA.docx" TargetMode="External"/><Relationship Id="rId21" Type="http://schemas.openxmlformats.org/officeDocument/2006/relationships/hyperlink" Target="http://dcpo.dp.ua/wp-content/uploads/2020/11/2.5..-%D0%9F%D0%BB%D0%B0%D0%BD%D0%BE%D0%B2%D1%96-%D0%BE%D0%B1%D1%81%D1%8F%D0%B3%D0%B8-%D0%BF%D1%80%D0%B8%D0%B9%D0%BE%D0%BC%D1%83-%D0%BD%D0%B0-2021-%D1%80%D1%96%D0%BA.docx" TargetMode="External"/><Relationship Id="rId24" Type="http://schemas.openxmlformats.org/officeDocument/2006/relationships/hyperlink" Target="http://dcpo.dp.ua/wp-content/uploads/2020/11/2.5..-%D0%9F%D0%BB%D0%B0%D0%BD%D0%BE%D0%B2%D1%96-%D0%BE%D0%B1%D1%81%D1%8F%D0%B3%D0%B8-%D0%BF%D1%80%D0%B8%D0%B9%D0%BE%D0%BC%D1%83-%D0%BD%D0%B0-2021-%D1%80%D1%96%D0%BA.docx" TargetMode="External"/><Relationship Id="rId23" Type="http://schemas.openxmlformats.org/officeDocument/2006/relationships/hyperlink" Target="http://dcpo.dp.ua/wp-content/uploads/2020/11/2.5..-%D0%9F%D0%BB%D0%B0%D0%BD%D0%BE%D0%B2%D1%96-%D0%BE%D0%B1%D1%81%D1%8F%D0%B3%D0%B8-%D0%BF%D1%80%D0%B8%D0%B9%D0%BE%D0%BC%D1%83-%D0%BD%D0%B0-2021-%D1%80%D1%96%D0%BA.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cpo.dp.ua/wp-content/uploads/2018/10/%D0%94%D0%A6%D0%9F%D0%9E-%D0%A1%D1%82%D0%B0%D1%82%D1%83%D1%82-2018-%D0%BD%D0%BE%D0%B2%D0%B0-%D1%80%D0%B5%D0%B4%D0%B0%D0%BA%D1%86%D1%96%D1%8F-%D0%B2%D0%B8%D0%BF%D1%80%D0%B0D.pdf" TargetMode="External"/><Relationship Id="rId26" Type="http://schemas.openxmlformats.org/officeDocument/2006/relationships/hyperlink" Target="http://dcpo.dp.ua/wp-content/uploads/2019/03/koshtoris_gurtojytok.pdf" TargetMode="External"/><Relationship Id="rId25" Type="http://schemas.openxmlformats.org/officeDocument/2006/relationships/hyperlink" Target="http://dcpo.dp.ua/wp-content/uploads/2020/11/2.5..-%D0%9F%D0%BB%D0%B0%D0%BD%D0%BE%D0%B2%D1%96-%D0%BE%D0%B1%D1%81%D1%8F%D0%B3%D0%B8-%D0%BF%D1%80%D0%B8%D0%B9%D0%BE%D0%BC%D1%83-%D0%BD%D0%B0-2021-%D1%80%D1%96%D0%BA.docx" TargetMode="External"/><Relationship Id="rId28" Type="http://schemas.openxmlformats.org/officeDocument/2006/relationships/hyperlink" Target="https://drive.google.com/file/d/16xO7M9MC_i7lDWcAk4P4qI5AoyvQkSwq/view?usp=sharing" TargetMode="External"/><Relationship Id="rId27" Type="http://schemas.openxmlformats.org/officeDocument/2006/relationships/hyperlink" Target="https://drive.google.com/file/d/16xO7M9MC_i7lDWcAk4P4qI5AoyvQkSwq/view?usp=shar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earch.ligazakon.ua/l_doc2.nsf/link1/T355100.html" TargetMode="External"/><Relationship Id="rId7" Type="http://schemas.openxmlformats.org/officeDocument/2006/relationships/hyperlink" Target="http://dcpo.dp.ua/wp-content/uploads/2020/01/licenzia1.pdf" TargetMode="External"/><Relationship Id="rId8" Type="http://schemas.openxmlformats.org/officeDocument/2006/relationships/hyperlink" Target="http://dcpo.dp.ua/wp-content/uploads/2018/10/%D0%9B%D1%96%D1%86%D0%B5%D0%BD%D0%B7%D0%B2%D1%8F.pdf" TargetMode="External"/><Relationship Id="rId31" Type="http://schemas.openxmlformats.org/officeDocument/2006/relationships/hyperlink" Target="https://zakon.rada.gov.ua/laws/show/875-12#n206" TargetMode="External"/><Relationship Id="rId30" Type="http://schemas.openxmlformats.org/officeDocument/2006/relationships/hyperlink" Target="http://search.ligazakon.ua/l_doc2.nsf/link1/KP940226.html" TargetMode="External"/><Relationship Id="rId11" Type="http://schemas.openxmlformats.org/officeDocument/2006/relationships/hyperlink" Target="http://www.dcpo.dp.ua" TargetMode="External"/><Relationship Id="rId33" Type="http://schemas.openxmlformats.org/officeDocument/2006/relationships/hyperlink" Target="http://search.ligazakon.ua/l_doc2.nsf/link1/T080345.html" TargetMode="External"/><Relationship Id="rId10" Type="http://schemas.openxmlformats.org/officeDocument/2006/relationships/hyperlink" Target="http://www.dcpo.dp.ua" TargetMode="External"/><Relationship Id="rId32" Type="http://schemas.openxmlformats.org/officeDocument/2006/relationships/hyperlink" Target="http://search.ligazakon.ua/l_doc2.nsf/link1/T079600.html" TargetMode="External"/><Relationship Id="rId13" Type="http://schemas.openxmlformats.org/officeDocument/2006/relationships/hyperlink" Target="http://dcpo.dp.ua/wp-content/uploads/2020/11/2.5..-%D0%9F%D0%BB%D0%B0%D0%BD%D0%BE%D0%B2%D1%96-%D0%BE%D0%B1%D1%81%D1%8F%D0%B3%D0%B8-%D0%BF%D1%80%D0%B8%D0%B9%D0%BE%D0%BC%D1%83-%D0%BD%D0%B0-2021-%D1%80%D1%96%D0%BA.docx" TargetMode="External"/><Relationship Id="rId35" Type="http://schemas.openxmlformats.org/officeDocument/2006/relationships/hyperlink" Target="http://search.ligazakon.ua/l_doc2.nsf/link1/U157_02.html" TargetMode="External"/><Relationship Id="rId12" Type="http://schemas.openxmlformats.org/officeDocument/2006/relationships/hyperlink" Target="http://dcpo.dp.ua/wp-content/uploads/2020/11/2.5..-%D0%9F%D0%BB%D0%B0%D0%BD%D0%BE%D0%B2%D1%96-%D0%BE%D0%B1%D1%81%D1%8F%D0%B3%D0%B8-%D0%BF%D1%80%D0%B8%D0%B9%D0%BE%D0%BC%D1%83-%D0%BD%D0%B0-2021-%D1%80%D1%96%D0%BA.docx" TargetMode="External"/><Relationship Id="rId34" Type="http://schemas.openxmlformats.org/officeDocument/2006/relationships/hyperlink" Target="http://search.ligazakon.ua/l_doc2.nsf/link1/U524_99.html" TargetMode="External"/><Relationship Id="rId15" Type="http://schemas.openxmlformats.org/officeDocument/2006/relationships/hyperlink" Target="http://dcpo.dp.ua/wp-content/uploads/2020/11/2.5..-%D0%9F%D0%BB%D0%B0%D0%BD%D0%BE%D0%B2%D1%96-%D0%BE%D0%B1%D1%81%D1%8F%D0%B3%D0%B8-%D0%BF%D1%80%D0%B8%D0%B9%D0%BE%D0%BC%D1%83-%D0%BD%D0%B0-2021-%D1%80%D1%96%D0%BA.docx" TargetMode="External"/><Relationship Id="rId37" Type="http://schemas.openxmlformats.org/officeDocument/2006/relationships/header" Target="header3.xml"/><Relationship Id="rId14" Type="http://schemas.openxmlformats.org/officeDocument/2006/relationships/hyperlink" Target="http://dcpo.dp.ua/wp-content/uploads/2020/11/2.5..-%D0%9F%D0%BB%D0%B0%D0%BD%D0%BE%D0%B2%D1%96-%D0%BE%D0%B1%D1%81%D1%8F%D0%B3%D0%B8-%D0%BF%D1%80%D0%B8%D0%B9%D0%BE%D0%BC%D1%83-%D0%BD%D0%B0-2021-%D1%80%D1%96%D0%BA.docx" TargetMode="External"/><Relationship Id="rId36" Type="http://schemas.openxmlformats.org/officeDocument/2006/relationships/hyperlink" Target="https://zakon.rada.gov.ua/laws/show/875-12#n206" TargetMode="External"/><Relationship Id="rId17" Type="http://schemas.openxmlformats.org/officeDocument/2006/relationships/hyperlink" Target="http://dcpo.dp.ua/wp-content/uploads/2020/11/2.5..-%D0%9F%D0%BB%D0%B0%D0%BD%D0%BE%D0%B2%D1%96-%D0%BE%D0%B1%D1%81%D1%8F%D0%B3%D0%B8-%D0%BF%D1%80%D0%B8%D0%B9%D0%BE%D0%BC%D1%83-%D0%BD%D0%B0-2021-%D1%80%D1%96%D0%BA.docx" TargetMode="External"/><Relationship Id="rId39" Type="http://schemas.openxmlformats.org/officeDocument/2006/relationships/header" Target="header1.xml"/><Relationship Id="rId16" Type="http://schemas.openxmlformats.org/officeDocument/2006/relationships/hyperlink" Target="http://dcpo.dp.ua/wp-content/uploads/2020/11/2.5..-%D0%9F%D0%BB%D0%B0%D0%BD%D0%BE%D0%B2%D1%96-%D0%BE%D0%B1%D1%81%D1%8F%D0%B3%D0%B8-%D0%BF%D1%80%D0%B8%D0%B9%D0%BE%D0%BC%D1%83-%D0%BD%D0%B0-2021-%D1%80%D1%96%D0%BA.docx" TargetMode="External"/><Relationship Id="rId38" Type="http://schemas.openxmlformats.org/officeDocument/2006/relationships/header" Target="header2.xml"/><Relationship Id="rId19" Type="http://schemas.openxmlformats.org/officeDocument/2006/relationships/hyperlink" Target="http://dcpo.dp.ua/wp-content/uploads/2020/11/2.5..-%D0%9F%D0%BB%D0%B0%D0%BD%D0%BE%D0%B2%D1%96-%D0%BE%D0%B1%D1%81%D1%8F%D0%B3%D0%B8-%D0%BF%D1%80%D0%B8%D0%B9%D0%BE%D0%BC%D1%83-%D0%BD%D0%B0-2021-%D1%80%D1%96%D0%BA.docx" TargetMode="External"/><Relationship Id="rId18" Type="http://schemas.openxmlformats.org/officeDocument/2006/relationships/hyperlink" Target="http://dcpo.dp.ua/wp-content/uploads/2020/11/2.5..-%D0%9F%D0%BB%D0%B0%D0%BD%D0%BE%D0%B2%D1%96-%D0%BE%D0%B1%D1%81%D1%8F%D0%B3%D0%B8-%D0%BF%D1%80%D0%B8%D0%B9%D0%BE%D0%BC%D1%83-%D0%BD%D0%B0-2021-%D1%80%D1%96%D0%B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NfmWQ6NvG9i/jrHAPMo99gHg4Q==">AMUW2mUyuUsNaxcdZBPmL7GNy4niJSBesRUlzWtdPwmkpbAYHLU+N/bPuKZIu/uE1lp9r8IO8wG3qzVtd5vHkn77tPmrr+t0/VfnOH0+uyo1bgi2qZWVJoOtObmAi1mN1jSKqydsO8c5AILr+Fn5xkTGdGciuaXlmHWr3rS6WUGvDrTGP3PNlb8=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2016-02-02T06:55:00Z</dcterms:created>
  <dc:creator>Коваленко Жанна Владимировна</dc:creator>
</cp:coreProperties>
</file>

<file path=docProps/custom.xml><?xml version="1.0" encoding="utf-8"?>
<Properties xmlns="http://schemas.openxmlformats.org/officeDocument/2006/custom-properties" xmlns:vt="http://schemas.openxmlformats.org/officeDocument/2006/docPropsVTypes"/>
</file>